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D8B71" w14:textId="390A3865" w:rsidR="006A15DA" w:rsidRDefault="006A15DA">
      <w:pPr>
        <w:rPr>
          <w:lang w:val="es-419"/>
        </w:rPr>
      </w:pPr>
      <w:r>
        <w:rPr>
          <w:lang w:val="es-419"/>
        </w:rPr>
        <w:t xml:space="preserve">Acta: Sesión </w:t>
      </w:r>
      <w:r w:rsidR="004D0A60">
        <w:rPr>
          <w:lang w:val="es-419"/>
        </w:rPr>
        <w:t xml:space="preserve">“Detección </w:t>
      </w:r>
      <w:r w:rsidR="00994982">
        <w:rPr>
          <w:lang w:val="es-419"/>
        </w:rPr>
        <w:t xml:space="preserve">y Reporte de Operaciones inusuales y Operaciones Sospechosas” </w:t>
      </w:r>
    </w:p>
    <w:p w14:paraId="3714C276" w14:textId="4CABA6BA" w:rsidR="00994982" w:rsidRDefault="00994982">
      <w:pPr>
        <w:rPr>
          <w:lang w:val="es-419"/>
        </w:rPr>
      </w:pPr>
      <w:r>
        <w:rPr>
          <w:lang w:val="es-419"/>
        </w:rPr>
        <w:t>Lugar: Híbrido</w:t>
      </w:r>
      <w:r w:rsidR="00C65E7B">
        <w:rPr>
          <w:lang w:val="es-419"/>
        </w:rPr>
        <w:t xml:space="preserve"> (Auditorio Foncep y Microsoft Teams)</w:t>
      </w:r>
    </w:p>
    <w:p w14:paraId="4B8B8EFD" w14:textId="38380CD9" w:rsidR="00C65E7B" w:rsidRDefault="00C65E7B">
      <w:pPr>
        <w:rPr>
          <w:lang w:val="es-419"/>
        </w:rPr>
      </w:pPr>
      <w:r>
        <w:rPr>
          <w:lang w:val="es-419"/>
        </w:rPr>
        <w:t xml:space="preserve">Duración: </w:t>
      </w:r>
      <w:r w:rsidR="00DB3222">
        <w:rPr>
          <w:lang w:val="es-419"/>
        </w:rPr>
        <w:t xml:space="preserve">40 minutos </w:t>
      </w:r>
    </w:p>
    <w:p w14:paraId="65A0BFDF" w14:textId="0B131306" w:rsidR="003B6208" w:rsidRDefault="003B6208">
      <w:pPr>
        <w:rPr>
          <w:lang w:val="es-419"/>
        </w:rPr>
      </w:pPr>
      <w:r>
        <w:rPr>
          <w:lang w:val="es-419"/>
        </w:rPr>
        <w:t xml:space="preserve">Temas: </w:t>
      </w:r>
    </w:p>
    <w:p w14:paraId="74508B74" w14:textId="326C5B60" w:rsidR="003B6208" w:rsidRDefault="003B6208" w:rsidP="003B6208">
      <w:pPr>
        <w:pStyle w:val="Prrafodelista"/>
        <w:numPr>
          <w:ilvl w:val="0"/>
          <w:numId w:val="1"/>
        </w:numPr>
        <w:rPr>
          <w:lang w:val="es-419"/>
        </w:rPr>
      </w:pPr>
      <w:r>
        <w:rPr>
          <w:lang w:val="es-419"/>
        </w:rPr>
        <w:t>Introducción y origen del SARLAFT</w:t>
      </w:r>
    </w:p>
    <w:p w14:paraId="781275DA" w14:textId="3B948FCD" w:rsidR="003B6208" w:rsidRDefault="008F4B43" w:rsidP="003B6208">
      <w:pPr>
        <w:pStyle w:val="Prrafodelista"/>
        <w:numPr>
          <w:ilvl w:val="0"/>
          <w:numId w:val="1"/>
        </w:numPr>
        <w:rPr>
          <w:lang w:val="es-419"/>
        </w:rPr>
      </w:pPr>
      <w:r>
        <w:rPr>
          <w:lang w:val="es-419"/>
        </w:rPr>
        <w:t xml:space="preserve">Adopción </w:t>
      </w:r>
      <w:r w:rsidR="003B6208">
        <w:rPr>
          <w:lang w:val="es-419"/>
        </w:rPr>
        <w:t xml:space="preserve">del SARLAFT en el Distrito Capital </w:t>
      </w:r>
    </w:p>
    <w:p w14:paraId="03BC75B8" w14:textId="64343655" w:rsidR="003B6208" w:rsidRDefault="008F4B43" w:rsidP="003B6208">
      <w:pPr>
        <w:pStyle w:val="Prrafodelista"/>
        <w:numPr>
          <w:ilvl w:val="0"/>
          <w:numId w:val="1"/>
        </w:numPr>
        <w:rPr>
          <w:lang w:val="es-419"/>
        </w:rPr>
      </w:pPr>
      <w:r>
        <w:rPr>
          <w:lang w:val="es-419"/>
        </w:rPr>
        <w:t xml:space="preserve">Instrucciones para la contratación 2026 </w:t>
      </w:r>
      <w:r w:rsidR="0000570C">
        <w:rPr>
          <w:lang w:val="es-419"/>
        </w:rPr>
        <w:t xml:space="preserve">y la obligación que los supervisores atiendan el procedimiento </w:t>
      </w:r>
    </w:p>
    <w:p w14:paraId="46FDF5B1" w14:textId="408102FD" w:rsidR="0000570C" w:rsidRDefault="0000570C" w:rsidP="003B6208">
      <w:pPr>
        <w:pStyle w:val="Prrafodelista"/>
        <w:numPr>
          <w:ilvl w:val="0"/>
          <w:numId w:val="1"/>
        </w:numPr>
        <w:rPr>
          <w:lang w:val="es-419"/>
        </w:rPr>
      </w:pPr>
      <w:r>
        <w:rPr>
          <w:lang w:val="es-419"/>
        </w:rPr>
        <w:t xml:space="preserve">Respuesta a dudas e inquietudes </w:t>
      </w:r>
    </w:p>
    <w:p w14:paraId="65BE9287" w14:textId="77777777" w:rsidR="0000570C" w:rsidRDefault="0000570C" w:rsidP="0000570C">
      <w:pPr>
        <w:rPr>
          <w:lang w:val="es-419"/>
        </w:rPr>
      </w:pPr>
    </w:p>
    <w:p w14:paraId="77DE5198" w14:textId="59E8DBC4" w:rsidR="0000570C" w:rsidRDefault="0000570C" w:rsidP="0000570C">
      <w:pPr>
        <w:rPr>
          <w:lang w:val="es-419"/>
        </w:rPr>
      </w:pPr>
      <w:r>
        <w:rPr>
          <w:lang w:val="es-419"/>
        </w:rPr>
        <w:t xml:space="preserve">En primer término, la funcionaria Jennifer </w:t>
      </w:r>
      <w:r w:rsidR="00470954">
        <w:rPr>
          <w:lang w:val="es-419"/>
        </w:rPr>
        <w:t xml:space="preserve">Rodríguez inició la exposición sobre el origen el SARLAFT en Colombia. </w:t>
      </w:r>
    </w:p>
    <w:p w14:paraId="5C1499A9" w14:textId="77777777" w:rsidR="00887099" w:rsidRDefault="00887099" w:rsidP="00887099">
      <w:pPr>
        <w:rPr>
          <w:lang w:val="es-419"/>
        </w:rPr>
      </w:pPr>
      <w:r w:rsidRPr="00887099">
        <w:rPr>
          <w:lang w:val="es-419"/>
        </w:rPr>
        <w:t>El SARLAFT en Colombia tiene su origen en la necesidad de fortalecer los mecanismos de prevención contra el lavado de activos y la financiación del terrorismo, en respuesta a compromisos internacionales y a la realidad del país frente al narcotráfico y la criminalidad organizada.</w:t>
      </w:r>
    </w:p>
    <w:p w14:paraId="0160CC62" w14:textId="30811E19" w:rsidR="00887099" w:rsidRPr="00887099" w:rsidRDefault="00887099" w:rsidP="00887099">
      <w:pPr>
        <w:rPr>
          <w:lang w:val="es-419"/>
        </w:rPr>
      </w:pPr>
      <w:r w:rsidRPr="00887099">
        <w:rPr>
          <w:lang w:val="es-419"/>
        </w:rPr>
        <w:t>El punto de partida normativo se ubica en 1992 con el Decreto 1872, expedido durante el gobierno de César Gaviria, que incorporó principios de Basilea para el sector financiero y estableció las primeras obligaciones de control frente al lavado de activo</w:t>
      </w:r>
      <w:r>
        <w:rPr>
          <w:lang w:val="es-419"/>
        </w:rPr>
        <w:t>s.</w:t>
      </w:r>
      <w:r w:rsidRPr="00887099">
        <w:rPr>
          <w:lang w:val="es-419"/>
        </w:rPr>
        <w:t xml:space="preserve"> Este decreto marcó la transición hacia un sistema más estructurado de prevención, en el que las entidades financieras debían adoptar procedimientos internos para identificar operaciones sospechosas y proteger la integridad del sistema económico.</w:t>
      </w:r>
    </w:p>
    <w:p w14:paraId="438D7CBC" w14:textId="08389D09" w:rsidR="00887099" w:rsidRPr="00887099" w:rsidRDefault="00887099" w:rsidP="00887099">
      <w:pPr>
        <w:rPr>
          <w:lang w:val="es-419"/>
        </w:rPr>
      </w:pPr>
      <w:r w:rsidRPr="00887099">
        <w:rPr>
          <w:lang w:val="es-419"/>
        </w:rPr>
        <w:t>Posteriormente, en 1999 se creó la Unidad de Información y Análisis Financiero (UIAF) mediante la Ley 526, como organismo especializado en la detección y análisis de operaciones relacionadas con lavado de activos y financiación del terrorismo</w:t>
      </w:r>
      <w:r>
        <w:rPr>
          <w:lang w:val="es-419"/>
        </w:rPr>
        <w:t xml:space="preserve">. </w:t>
      </w:r>
      <w:r w:rsidRPr="00887099">
        <w:rPr>
          <w:lang w:val="es-419"/>
        </w:rPr>
        <w:t>La UIAF se convirtió en el eje central de la política pública en esta materia, articulando la cooperación entre entidades públicas y privadas, y consolidando la obligación de reportar operaciones sospechosas (ROS).</w:t>
      </w:r>
    </w:p>
    <w:p w14:paraId="1029B54A" w14:textId="77777777" w:rsidR="00887099" w:rsidRPr="00887099" w:rsidRDefault="00887099" w:rsidP="00887099">
      <w:pPr>
        <w:rPr>
          <w:lang w:val="es-419"/>
        </w:rPr>
      </w:pPr>
      <w:r w:rsidRPr="00887099">
        <w:rPr>
          <w:lang w:val="es-419"/>
        </w:rPr>
        <w:t xml:space="preserve">En los años siguientes, Colombia avanzó en la consolidación de un sistema integral. Inicialmente existió el Sistema Integral para la Prevención del Lavado de Activos (SIPLA), que fue reemplazado en 2008 por el SARLAFT, diseñado por la Superintendencia Financiera como un modelo más robusto y dinámico Infolaft. Este nuevo sistema introdujo un enfoque basado en riesgos, con cuatro etapas (identificación, medición, control y monitoreo) y ocho elementos estructurales </w:t>
      </w:r>
      <w:r w:rsidRPr="00887099">
        <w:rPr>
          <w:lang w:val="es-419"/>
        </w:rPr>
        <w:lastRenderedPageBreak/>
        <w:t>(políticas, procedimientos, documentación, estructura organizacional, órganos de control, infraestructura tecnológica, divulgación y capacitación).</w:t>
      </w:r>
    </w:p>
    <w:p w14:paraId="0303C41D" w14:textId="10544630" w:rsidR="00887099" w:rsidRPr="00887099" w:rsidRDefault="00887099" w:rsidP="00887099">
      <w:pPr>
        <w:rPr>
          <w:lang w:val="es-419"/>
        </w:rPr>
      </w:pPr>
      <w:r w:rsidRPr="00887099">
        <w:rPr>
          <w:lang w:val="es-419"/>
        </w:rPr>
        <w:t>El SARLAFT se convirtió en un estándar obligatorio para las entidades vigiladas por la Superintendencia Financiera, y su evolución ha estado marcada por la necesidad de alinearse con las 40 recomendaciones del Grupo de Acción Financiera Internacional (GAFI) y con los compromisos adquiridos por Colombia en foros internacionales. De esta manera, el país buscó garantizar que su sistema financiero no fuera utilizado para dar apariencia de legalidad a recursos ilícitos ni para canalizar fondos hacia actividades terroristas.</w:t>
      </w:r>
    </w:p>
    <w:p w14:paraId="42873585" w14:textId="77777777" w:rsidR="00887099" w:rsidRPr="00887099" w:rsidRDefault="00887099" w:rsidP="00887099">
      <w:pPr>
        <w:rPr>
          <w:lang w:val="es-419"/>
        </w:rPr>
      </w:pPr>
    </w:p>
    <w:p w14:paraId="28658D45" w14:textId="581D16DE" w:rsidR="00887099" w:rsidRDefault="00887099" w:rsidP="0000570C">
      <w:pPr>
        <w:rPr>
          <w:lang w:val="es-419"/>
        </w:rPr>
      </w:pPr>
      <w:r w:rsidRPr="00887099">
        <w:rPr>
          <w:lang w:val="es-419"/>
        </w:rPr>
        <w:t>Finalmente, en 2020 se expidió el SARLAFT 4.0, una actualización que incorporó nuevas exigencias tecnológicas, mayor énfasis en la identificación de beneficiarios finales y un enfoque más flexible y proporcional según el tamaño y naturaleza de cada entidad Infolaft. Este modelo reafirma que el SARLAFT no es un sistema único, sino que cada entidad debe diseñar su propio esquema adaptado a su perfil de riesgo, siempre bajo los lineamientos regulatorios mínimos. Así, el origen del SARLAFT en Colombia refleja un proceso gradual de fortalecimiento institucional y normativo, que ha evolucionado desde los primeros decretos de los años noventa hasta convertirse en un sistema moderno y dinámico de gestión del riesgo LA/FT.</w:t>
      </w:r>
    </w:p>
    <w:p w14:paraId="3240930F" w14:textId="77777777" w:rsidR="00CB2687" w:rsidRDefault="00CB2687" w:rsidP="0000570C">
      <w:pPr>
        <w:rPr>
          <w:lang w:val="es-419"/>
        </w:rPr>
      </w:pPr>
    </w:p>
    <w:p w14:paraId="69E62E02" w14:textId="34BA9440" w:rsidR="006E5D88" w:rsidRPr="006E5D88" w:rsidRDefault="00CB2687" w:rsidP="006E5D88">
      <w:pPr>
        <w:rPr>
          <w:lang w:val="es-419"/>
        </w:rPr>
      </w:pPr>
      <w:r>
        <w:rPr>
          <w:lang w:val="es-419"/>
        </w:rPr>
        <w:t xml:space="preserve">Posteriormente el colaborador Daniel Ochoa efectuó la descripción de la implementación del SARLAFT el el Distrito Capital, a partir de </w:t>
      </w:r>
      <w:r w:rsidR="006E5D88" w:rsidRPr="006E5D88">
        <w:rPr>
          <w:lang w:val="es-419"/>
        </w:rPr>
        <w:t xml:space="preserve">La implementación del SARLAFT en el Distrito </w:t>
      </w:r>
      <w:r w:rsidR="00E76196" w:rsidRPr="006E5D88">
        <w:rPr>
          <w:lang w:val="es-419"/>
        </w:rPr>
        <w:t>Capital,</w:t>
      </w:r>
      <w:r w:rsidR="00E76196">
        <w:rPr>
          <w:lang w:val="es-419"/>
        </w:rPr>
        <w:t xml:space="preserve"> por parte de la secretaria Gensral del </w:t>
      </w:r>
      <w:r w:rsidR="00EC1366">
        <w:rPr>
          <w:lang w:val="es-419"/>
        </w:rPr>
        <w:t>Distrito, mediante</w:t>
      </w:r>
      <w:r w:rsidR="00E76196">
        <w:rPr>
          <w:lang w:val="es-419"/>
        </w:rPr>
        <w:t xml:space="preserve"> el marco </w:t>
      </w:r>
      <w:r w:rsidR="006E5D88" w:rsidRPr="006E5D88">
        <w:rPr>
          <w:lang w:val="es-419"/>
        </w:rPr>
        <w:t xml:space="preserve">metodológico de 2022. </w:t>
      </w:r>
      <w:r w:rsidR="00EC1366">
        <w:rPr>
          <w:lang w:val="es-419"/>
        </w:rPr>
        <w:t>En ese documento se</w:t>
      </w:r>
      <w:r w:rsidR="006E5D88" w:rsidRPr="006E5D88">
        <w:rPr>
          <w:lang w:val="es-419"/>
        </w:rPr>
        <w:t xml:space="preserve"> estableció que las entidades distritales debían adoptar medidas de prevención y mitigación ajustadas a sus capacidades y particularidades, integrando el SARLAFT como modelo de referencia. Este sistema se articuló con el Modelo Integrado de Planeación y Gestión (MIPG), lo que permitió que la gestión del riesgo de lavado de activos y financiación del terrorismo se convirtiera en un componente transversal de la administración pública distrital.</w:t>
      </w:r>
    </w:p>
    <w:p w14:paraId="4F425E8A" w14:textId="77777777" w:rsidR="006E5D88" w:rsidRPr="006E5D88" w:rsidRDefault="006E5D88" w:rsidP="006E5D88">
      <w:pPr>
        <w:rPr>
          <w:lang w:val="es-419"/>
        </w:rPr>
      </w:pPr>
      <w:r w:rsidRPr="006E5D88">
        <w:rPr>
          <w:lang w:val="es-419"/>
        </w:rPr>
        <w:t xml:space="preserve">Un aspecto clave de la implementación fue la integración del SARLAFT con los Planes Anticorrupción y de Atención al Ciudadano (PAAC). Las entidades debieron incorporar los riesgos identificados en el sistema dentro de sus mapas de corrupción y planes de acción, garantizando que la prevención de delitos financieros se vinculara directamente con la política de transparencia e integridad. De esta manera, el SARLAFT no se limitó al ámbito financiero, sino que </w:t>
      </w:r>
      <w:r w:rsidRPr="006E5D88">
        <w:rPr>
          <w:lang w:val="es-419"/>
        </w:rPr>
        <w:lastRenderedPageBreak/>
        <w:t>se convirtió en una herramienta de lucha anticorrupción y de fortalecimiento institucional.</w:t>
      </w:r>
    </w:p>
    <w:p w14:paraId="4CC0DD11" w14:textId="77777777" w:rsidR="006E5D88" w:rsidRPr="006E5D88" w:rsidRDefault="006E5D88" w:rsidP="006E5D88">
      <w:pPr>
        <w:rPr>
          <w:lang w:val="es-419"/>
        </w:rPr>
      </w:pPr>
      <w:r w:rsidRPr="006E5D88">
        <w:rPr>
          <w:lang w:val="es-419"/>
        </w:rPr>
        <w:t>La metodología aplicada se basó en las cuatro etapas del ciclo de gestión del riesgo: identificación, medición, control y monitoreo. Cada entidad distrital debía realizar diagnósticos de factores de riesgo, elaborar matrices de vulnerabilidad, cuantificar probabilidad e impacto de eventos críticos, y establecer controles preventivos y detectivos. El monitoreo continuo permitió comparar riesgos inherentes y residuales, identificar brechas y tomar decisiones informadas para mejorar la seguridad institucional.</w:t>
      </w:r>
    </w:p>
    <w:p w14:paraId="45D2766C" w14:textId="77777777" w:rsidR="006E5D88" w:rsidRPr="006E5D88" w:rsidRDefault="006E5D88" w:rsidP="006E5D88">
      <w:pPr>
        <w:rPr>
          <w:lang w:val="es-419"/>
        </w:rPr>
      </w:pPr>
      <w:r w:rsidRPr="006E5D88">
        <w:rPr>
          <w:lang w:val="es-419"/>
        </w:rPr>
        <w:t>La implementación también exigió la adopción de los ocho elementos estructurales del SARLAFT: políticas, procedimientos, documentación, estructura organizacional, órganos de control, infraestructura tecnológica, divulgación de información y capacitación. Estos elementos aseguraron que el sistema fuera trazable, verificable y sostenible en el tiempo. En particular, se destacó la obligación de los supervisores de contratos de realizar consultas en listas vinculantes (OFAC e Interpol) y diligenciar formularios de conocimiento del beneficiario final, garantizando que cada relación contractual cumpliera con los estándares de prevención.</w:t>
      </w:r>
    </w:p>
    <w:p w14:paraId="3615E773" w14:textId="77777777" w:rsidR="006E5D88" w:rsidRPr="006E5D88" w:rsidRDefault="006E5D88" w:rsidP="006E5D88">
      <w:pPr>
        <w:rPr>
          <w:lang w:val="es-419"/>
        </w:rPr>
      </w:pPr>
    </w:p>
    <w:p w14:paraId="7B64C9F9" w14:textId="015CF4EF" w:rsidR="00CB2687" w:rsidRDefault="006E5D88" w:rsidP="0000570C">
      <w:pPr>
        <w:rPr>
          <w:lang w:val="es-419"/>
        </w:rPr>
      </w:pPr>
      <w:r w:rsidRPr="006E5D88">
        <w:rPr>
          <w:lang w:val="es-419"/>
        </w:rPr>
        <w:t>Finalmente, la implementación del SARLAFT en el Distrito Capital consolidó un esquema de gestión pública más riguroso, que combina controles internos, monitoreo automatizado y cultura de cumplimiento. Al interrelacionarse con el MIPG y los planes anticorrupción, el sistema se convirtió en un mecanismo integral para proteger la integridad institucional, prevenir el ingreso de recursos ilícitos y fortalecer la confianza ciudadana en la administración distrital.</w:t>
      </w:r>
    </w:p>
    <w:p w14:paraId="04493222" w14:textId="77777777" w:rsidR="000960DA" w:rsidRDefault="000960DA" w:rsidP="0000570C">
      <w:pPr>
        <w:rPr>
          <w:lang w:val="es-419"/>
        </w:rPr>
      </w:pPr>
    </w:p>
    <w:p w14:paraId="4C411F81" w14:textId="5D522DE4" w:rsidR="000960DA" w:rsidRDefault="000960DA" w:rsidP="0000570C">
      <w:pPr>
        <w:rPr>
          <w:lang w:val="es-419"/>
        </w:rPr>
      </w:pPr>
      <w:r>
        <w:rPr>
          <w:lang w:val="es-419"/>
        </w:rPr>
        <w:t xml:space="preserve">Finalmente, se </w:t>
      </w:r>
      <w:r w:rsidR="000B3CF4">
        <w:rPr>
          <w:lang w:val="es-419"/>
        </w:rPr>
        <w:t>expusieron</w:t>
      </w:r>
      <w:r>
        <w:rPr>
          <w:lang w:val="es-419"/>
        </w:rPr>
        <w:t xml:space="preserve"> las reglas para la contratación del 2026</w:t>
      </w:r>
      <w:r w:rsidR="00A31D49">
        <w:rPr>
          <w:lang w:val="es-419"/>
        </w:rPr>
        <w:t>,</w:t>
      </w:r>
      <w:r w:rsidR="000B3CF4">
        <w:rPr>
          <w:lang w:val="es-419"/>
        </w:rPr>
        <w:t xml:space="preserve"> indicando cómo se deben diligenciar los formados dispuestos para el control y monitoreo. </w:t>
      </w:r>
    </w:p>
    <w:p w14:paraId="01DDC08A" w14:textId="03256969" w:rsidR="00A7573A" w:rsidRPr="00A7573A" w:rsidRDefault="0012487D" w:rsidP="00A7573A">
      <w:pPr>
        <w:rPr>
          <w:lang w:val="es-419"/>
        </w:rPr>
      </w:pPr>
      <w:r>
        <w:rPr>
          <w:lang w:val="es-419"/>
        </w:rPr>
        <w:t>Se expuso que</w:t>
      </w:r>
      <w:r w:rsidR="00A7573A" w:rsidRPr="00A7573A">
        <w:rPr>
          <w:lang w:val="es-419"/>
        </w:rPr>
        <w:t>, el FONCEP ha dispuesto un sistema de control y monitoreo para prevenir el lavado de activos y la financiación del terrorismo (LA/FT) que se fundamenta en la detección temprana de operaciones inusuales y/o sospechosas. El objetivo central es garantizar que la entidad no sea utilizada como canal para actividades ilícitas, aplicando medidas de control desde la etapa de vinculación contractual hasta la ejecución de operaciones financieras.</w:t>
      </w:r>
    </w:p>
    <w:p w14:paraId="33301360" w14:textId="77777777" w:rsidR="00A7573A" w:rsidRPr="00A7573A" w:rsidRDefault="00A7573A" w:rsidP="00A7573A">
      <w:pPr>
        <w:rPr>
          <w:lang w:val="es-419"/>
        </w:rPr>
      </w:pPr>
    </w:p>
    <w:p w14:paraId="566407EB" w14:textId="77777777" w:rsidR="00A7573A" w:rsidRPr="00A7573A" w:rsidRDefault="00A7573A" w:rsidP="00A7573A">
      <w:pPr>
        <w:rPr>
          <w:lang w:val="es-419"/>
        </w:rPr>
      </w:pPr>
      <w:r w:rsidRPr="00A7573A">
        <w:rPr>
          <w:lang w:val="es-419"/>
        </w:rPr>
        <w:t xml:space="preserve">El control inicia con la solicitud y diligenciamiento de formularios de conocimiento del beneficiario final, tanto para personas naturales como jurídicas. Estos </w:t>
      </w:r>
      <w:r w:rsidRPr="00A7573A">
        <w:rPr>
          <w:lang w:val="es-419"/>
        </w:rPr>
        <w:lastRenderedPageBreak/>
        <w:t>documentos permiten identificar quién está detrás de cada operación y asegurar la trazabilidad de los vínculos contractuales. El supervisor del contrato es responsable de solicitar, recibir y verificar la información, contrastándola con soportes documentales y con las listas vinculantes internacionales (OFAC e Interpol), lo que constituye un primer filtro de prevención.</w:t>
      </w:r>
    </w:p>
    <w:p w14:paraId="56909C22" w14:textId="77777777" w:rsidR="00A7573A" w:rsidRPr="00A7573A" w:rsidRDefault="00A7573A" w:rsidP="00A7573A">
      <w:pPr>
        <w:rPr>
          <w:lang w:val="es-419"/>
        </w:rPr>
      </w:pPr>
    </w:p>
    <w:p w14:paraId="04C2B56C" w14:textId="77777777" w:rsidR="00A7573A" w:rsidRPr="00A7573A" w:rsidRDefault="00A7573A" w:rsidP="00A7573A">
      <w:pPr>
        <w:rPr>
          <w:lang w:val="es-419"/>
        </w:rPr>
      </w:pPr>
      <w:r w:rsidRPr="00A7573A">
        <w:rPr>
          <w:lang w:val="es-419"/>
        </w:rPr>
        <w:t>El monitoreo se complementa con la validación de señales de alerta definidas en el procedimiento, tales como inconsistencias en la información, operaciones que no corresponden con la capacidad económica del contratista, cambios abruptos en el estilo de vida de servidores públicos, o la negativa de un proveedor a entregar documentación. Estas señales permiten activar mecanismos de control adicionales y, en caso de detectar irregularidades, escalar la situación al gestor de cumplimiento para su análisis.</w:t>
      </w:r>
    </w:p>
    <w:p w14:paraId="3CB6A762" w14:textId="77777777" w:rsidR="00A7573A" w:rsidRPr="00A7573A" w:rsidRDefault="00A7573A" w:rsidP="00A7573A">
      <w:pPr>
        <w:rPr>
          <w:lang w:val="es-419"/>
        </w:rPr>
      </w:pPr>
    </w:p>
    <w:p w14:paraId="265CB96B" w14:textId="7E833007" w:rsidR="00A7573A" w:rsidRPr="00A7573A" w:rsidRDefault="00A7573A" w:rsidP="00A7573A">
      <w:pPr>
        <w:rPr>
          <w:lang w:val="es-419"/>
        </w:rPr>
      </w:pPr>
      <w:r w:rsidRPr="00A7573A">
        <w:rPr>
          <w:lang w:val="es-419"/>
        </w:rPr>
        <w:t xml:space="preserve">En caso de determinar que una operación es sospechosa, el procedimiento establece la obligación de reportar a la UIAF a través del Sistema de Reporte en Línea (SIREL). Este reporte, denominado ROS (Reporte de Operaciones Sospechosas), es confidencial y no requiere certeza del delito, lo que asegura que la entidad cumpla con su deber de informar cualquier indicio de riesgo. </w:t>
      </w:r>
    </w:p>
    <w:p w14:paraId="559BA032" w14:textId="4E41F817" w:rsidR="00A7573A" w:rsidRDefault="00A7573A" w:rsidP="0000570C">
      <w:pPr>
        <w:rPr>
          <w:lang w:val="es-419"/>
        </w:rPr>
      </w:pPr>
      <w:r w:rsidRPr="00A7573A">
        <w:rPr>
          <w:lang w:val="es-419"/>
        </w:rPr>
        <w:t>Finalmente, el sistema de control y monitoreo se refuerza con la actualización periódica de formularios y listas de verificación, tanto para transacciones recurrentes como esporádicas. Además, se establece la obligación de mantener reserva sobre los reportes efectuados y de integrar estos controles al modelo de gestión institucional (MIPG y MECI). En conjunto, estas disposiciones aseguran que el FONCEP cuente con un esquema robusto, preventivo y trazable para proteger la integridad de sus operaciones y fortalecer la confianza institucional.</w:t>
      </w:r>
    </w:p>
    <w:p w14:paraId="72B1F174" w14:textId="77777777" w:rsidR="00A7573A" w:rsidRDefault="00A7573A" w:rsidP="0000570C">
      <w:pPr>
        <w:rPr>
          <w:lang w:val="es-419"/>
        </w:rPr>
      </w:pPr>
    </w:p>
    <w:p w14:paraId="4560342C" w14:textId="77777777" w:rsidR="00887099" w:rsidRDefault="00887099" w:rsidP="0000570C">
      <w:pPr>
        <w:rPr>
          <w:lang w:val="es-419"/>
        </w:rPr>
      </w:pPr>
    </w:p>
    <w:p w14:paraId="256F3362" w14:textId="77777777" w:rsidR="00470954" w:rsidRDefault="00470954" w:rsidP="0000570C">
      <w:pPr>
        <w:rPr>
          <w:lang w:val="es-419"/>
        </w:rPr>
      </w:pPr>
    </w:p>
    <w:p w14:paraId="132B7F15" w14:textId="77777777" w:rsidR="00470954" w:rsidRPr="0000570C" w:rsidRDefault="00470954" w:rsidP="0000570C">
      <w:pPr>
        <w:rPr>
          <w:lang w:val="es-419"/>
        </w:rPr>
      </w:pPr>
    </w:p>
    <w:sectPr w:rsidR="00470954" w:rsidRPr="0000570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8F2FFE"/>
    <w:multiLevelType w:val="hybridMultilevel"/>
    <w:tmpl w:val="6C3A6A06"/>
    <w:lvl w:ilvl="0" w:tplc="FFFFFFF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6064996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5DA"/>
    <w:rsid w:val="0000570C"/>
    <w:rsid w:val="000960DA"/>
    <w:rsid w:val="000A6BE3"/>
    <w:rsid w:val="000B0548"/>
    <w:rsid w:val="000B3CF4"/>
    <w:rsid w:val="0012487D"/>
    <w:rsid w:val="00226F89"/>
    <w:rsid w:val="003B6208"/>
    <w:rsid w:val="00435F2E"/>
    <w:rsid w:val="00470954"/>
    <w:rsid w:val="004D0A60"/>
    <w:rsid w:val="0052103D"/>
    <w:rsid w:val="006A15DA"/>
    <w:rsid w:val="006A45FE"/>
    <w:rsid w:val="006E5D88"/>
    <w:rsid w:val="00887099"/>
    <w:rsid w:val="008F4B43"/>
    <w:rsid w:val="00994982"/>
    <w:rsid w:val="00A31D49"/>
    <w:rsid w:val="00A7573A"/>
    <w:rsid w:val="00C65E7B"/>
    <w:rsid w:val="00CB2687"/>
    <w:rsid w:val="00CF2688"/>
    <w:rsid w:val="00DB3222"/>
    <w:rsid w:val="00E76196"/>
    <w:rsid w:val="00EC1366"/>
    <w:rsid w:val="00F5366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118D7"/>
  <w15:chartTrackingRefBased/>
  <w15:docId w15:val="{BF616775-D148-094C-86B4-4468B1B43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es-E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A15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A15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A15D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A15D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A15D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A15D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A15D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A15D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A15D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A15D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A15D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A15D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A15D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A15D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A15D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A15D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A15D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A15DA"/>
    <w:rPr>
      <w:rFonts w:eastAsiaTheme="majorEastAsia" w:cstheme="majorBidi"/>
      <w:color w:val="272727" w:themeColor="text1" w:themeTint="D8"/>
    </w:rPr>
  </w:style>
  <w:style w:type="paragraph" w:styleId="Ttulo">
    <w:name w:val="Title"/>
    <w:basedOn w:val="Normal"/>
    <w:next w:val="Normal"/>
    <w:link w:val="TtuloCar"/>
    <w:uiPriority w:val="10"/>
    <w:qFormat/>
    <w:rsid w:val="006A15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A15D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A15D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A15D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A15DA"/>
    <w:pPr>
      <w:spacing w:before="160"/>
      <w:jc w:val="center"/>
    </w:pPr>
    <w:rPr>
      <w:i/>
      <w:iCs/>
      <w:color w:val="404040" w:themeColor="text1" w:themeTint="BF"/>
    </w:rPr>
  </w:style>
  <w:style w:type="character" w:customStyle="1" w:styleId="CitaCar">
    <w:name w:val="Cita Car"/>
    <w:basedOn w:val="Fuentedeprrafopredeter"/>
    <w:link w:val="Cita"/>
    <w:uiPriority w:val="29"/>
    <w:rsid w:val="006A15DA"/>
    <w:rPr>
      <w:i/>
      <w:iCs/>
      <w:color w:val="404040" w:themeColor="text1" w:themeTint="BF"/>
    </w:rPr>
  </w:style>
  <w:style w:type="paragraph" w:styleId="Prrafodelista">
    <w:name w:val="List Paragraph"/>
    <w:basedOn w:val="Normal"/>
    <w:uiPriority w:val="34"/>
    <w:qFormat/>
    <w:rsid w:val="006A15DA"/>
    <w:pPr>
      <w:ind w:left="720"/>
      <w:contextualSpacing/>
    </w:pPr>
  </w:style>
  <w:style w:type="character" w:styleId="nfasisintenso">
    <w:name w:val="Intense Emphasis"/>
    <w:basedOn w:val="Fuentedeprrafopredeter"/>
    <w:uiPriority w:val="21"/>
    <w:qFormat/>
    <w:rsid w:val="006A15DA"/>
    <w:rPr>
      <w:i/>
      <w:iCs/>
      <w:color w:val="0F4761" w:themeColor="accent1" w:themeShade="BF"/>
    </w:rPr>
  </w:style>
  <w:style w:type="paragraph" w:styleId="Citadestacada">
    <w:name w:val="Intense Quote"/>
    <w:basedOn w:val="Normal"/>
    <w:next w:val="Normal"/>
    <w:link w:val="CitadestacadaCar"/>
    <w:uiPriority w:val="30"/>
    <w:qFormat/>
    <w:rsid w:val="006A15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A15DA"/>
    <w:rPr>
      <w:i/>
      <w:iCs/>
      <w:color w:val="0F4761" w:themeColor="accent1" w:themeShade="BF"/>
    </w:rPr>
  </w:style>
  <w:style w:type="character" w:styleId="Referenciaintensa">
    <w:name w:val="Intense Reference"/>
    <w:basedOn w:val="Fuentedeprrafopredeter"/>
    <w:uiPriority w:val="32"/>
    <w:qFormat/>
    <w:rsid w:val="006A15D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1312</Words>
  <Characters>7789</Characters>
  <Application>Microsoft Office Word</Application>
  <DocSecurity>0</DocSecurity>
  <Lines>139</Lines>
  <Paragraphs>26</Paragraphs>
  <ScaleCrop>false</ScaleCrop>
  <Company/>
  <LinksUpToDate>false</LinksUpToDate>
  <CharactersWithSpaces>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Ochoa</dc:creator>
  <cp:keywords/>
  <dc:description/>
  <cp:lastModifiedBy>daniel Ochoa</cp:lastModifiedBy>
  <cp:revision>2</cp:revision>
  <dcterms:created xsi:type="dcterms:W3CDTF">2025-11-25T20:08:00Z</dcterms:created>
  <dcterms:modified xsi:type="dcterms:W3CDTF">2025-11-25T20:08:00Z</dcterms:modified>
</cp:coreProperties>
</file>